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2E130" w14:textId="77777777" w:rsidR="00570EFF" w:rsidRPr="006006E7" w:rsidRDefault="00570EFF" w:rsidP="00570EFF">
      <w:pPr>
        <w:pStyle w:val="Heading3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Description of Additional Supplementary Files</w:t>
      </w:r>
    </w:p>
    <w:p w14:paraId="6A35E26D" w14:textId="51302CE5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0" w:name="_35nkun2" w:colFirst="0" w:colLast="0"/>
      <w:bookmarkEnd w:id="0"/>
      <w:r>
        <w:rPr>
          <w:rFonts w:ascii="Times New Roman" w:eastAsia="Arial" w:hAnsi="Times New Roman" w:cs="Times New Roman"/>
          <w:sz w:val="22"/>
          <w:szCs w:val="22"/>
        </w:rPr>
        <w:t xml:space="preserve">File Name: </w:t>
      </w:r>
      <w:r>
        <w:rPr>
          <w:rFonts w:ascii="Times New Roman" w:eastAsia="Arial" w:hAnsi="Times New Roman" w:cs="Times New Roman"/>
          <w:sz w:val="22"/>
          <w:szCs w:val="22"/>
        </w:rPr>
        <w:t>Supplementary Data 1</w:t>
      </w:r>
      <w:r>
        <w:rPr>
          <w:rFonts w:ascii="Times New Roman" w:eastAsia="Arial" w:hAnsi="Times New Roman" w:cs="Times New Roman"/>
          <w:sz w:val="22"/>
          <w:szCs w:val="22"/>
        </w:rPr>
        <w:t>-</w:t>
      </w:r>
      <w:r>
        <w:rPr>
          <w:rFonts w:ascii="Times New Roman" w:eastAsia="Arial" w:hAnsi="Times New Roman" w:cs="Times New Roman"/>
          <w:sz w:val="22"/>
          <w:szCs w:val="22"/>
        </w:rPr>
        <w:t>S1</w:t>
      </w:r>
      <w:r w:rsidRPr="006006E7">
        <w:rPr>
          <w:rFonts w:ascii="Times New Roman" w:eastAsia="Arial" w:hAnsi="Times New Roman" w:cs="Times New Roman"/>
          <w:sz w:val="22"/>
          <w:szCs w:val="22"/>
        </w:rPr>
        <w:t>. Comparison of quality control metrics by OUD diagnosis</w:t>
      </w:r>
    </w:p>
    <w:p w14:paraId="303C5055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False discovery rate-corrected two-sided t-tests comparing aggregated single nuclei RNA-se quality control metrics between UC and OUD individuals across the caudate or putamen.</w:t>
      </w:r>
    </w:p>
    <w:p w14:paraId="14E29377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533FF3C0" w14:textId="6546420F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" w:name="_1ksv4uv" w:colFirst="0" w:colLast="0"/>
      <w:bookmarkEnd w:id="1"/>
      <w:r>
        <w:rPr>
          <w:rFonts w:ascii="Times New Roman" w:eastAsia="Arial" w:hAnsi="Times New Roman" w:cs="Times New Roman"/>
          <w:sz w:val="22"/>
          <w:szCs w:val="22"/>
        </w:rPr>
        <w:t>File Name: Supplementary Data 1</w:t>
      </w:r>
      <w:r>
        <w:rPr>
          <w:rFonts w:ascii="Times New Roman" w:eastAsia="Arial" w:hAnsi="Times New Roman" w:cs="Times New Roman"/>
          <w:sz w:val="22"/>
          <w:szCs w:val="22"/>
        </w:rPr>
        <w:t>-</w:t>
      </w:r>
      <w:r w:rsidRPr="006006E7">
        <w:rPr>
          <w:rFonts w:ascii="Times New Roman" w:eastAsia="Arial" w:hAnsi="Times New Roman" w:cs="Times New Roman"/>
          <w:sz w:val="22"/>
          <w:szCs w:val="22"/>
        </w:rPr>
        <w:t>S2. Comparison of proportion of cell types by OUD diagnosis</w:t>
      </w:r>
    </w:p>
    <w:p w14:paraId="5776FD71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False discovery rate-corrected multiple two-sided mixed effect linear regression test for any difference in cell type proportion between UC vs. OUD controlling for covariates as fixed effects and individual as a random effect.</w:t>
      </w:r>
    </w:p>
    <w:p w14:paraId="0AE5B916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29FA3D16" w14:textId="09BF3371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2" w:name="_44sinio" w:colFirst="0" w:colLast="0"/>
      <w:bookmarkEnd w:id="2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S3. Significant marker genes of striatal cell types</w:t>
      </w:r>
    </w:p>
    <w:p w14:paraId="00064266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Significant marker genes for each striatal cell type using the Seurat </w:t>
      </w:r>
      <w:proofErr w:type="spellStart"/>
      <w:proofErr w:type="gramStart"/>
      <w:r w:rsidRPr="006006E7">
        <w:rPr>
          <w:rFonts w:ascii="Times New Roman" w:eastAsia="Arial" w:hAnsi="Times New Roman" w:cs="Times New Roman"/>
          <w:sz w:val="22"/>
          <w:szCs w:val="22"/>
        </w:rPr>
        <w:t>FindMarkers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>(</w:t>
      </w:r>
      <w:proofErr w:type="gramEnd"/>
      <w:r w:rsidRPr="006006E7">
        <w:rPr>
          <w:rFonts w:ascii="Times New Roman" w:eastAsia="Arial" w:hAnsi="Times New Roman" w:cs="Times New Roman"/>
          <w:sz w:val="22"/>
          <w:szCs w:val="22"/>
        </w:rPr>
        <w:t>) function with default parameters to compute one-vs-all comparison using two-sided Wilcoxon-rank sum test. We computed the FDR across all cell types and significant marker genes are reported at FDR &lt; 0.05.</w:t>
      </w:r>
    </w:p>
    <w:p w14:paraId="0B2DE886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B3E0943" w14:textId="39439FDE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3" w:name="_2jxsxqh" w:colFirst="0" w:colLast="0"/>
      <w:bookmarkEnd w:id="3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S4. Significant marker TF-gene modules of striatal cell types</w:t>
      </w:r>
    </w:p>
    <w:p w14:paraId="15F639C2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Significant marker TF-gene module activation for each striatal cell type using two-sided t-tests comparing the TF-gene module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AUCell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scores of each cell type with all others. The false discovery rate was computed across all cell types and significant marker genes are reported at FDR &lt; 0.05.</w:t>
      </w:r>
    </w:p>
    <w:p w14:paraId="221296D4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E310434" w14:textId="57C0BF38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4" w:name="_z337ya" w:colFirst="0" w:colLast="0"/>
      <w:bookmarkEnd w:id="4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S5. Postmortem human individual-level and tissue-level metadata</w:t>
      </w:r>
    </w:p>
    <w:p w14:paraId="797B19C7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Description of the biospecimen-level and individual-level metadata describing relevant covariates and opioid use disorder diagnoses.</w:t>
      </w:r>
    </w:p>
    <w:p w14:paraId="0298CDCD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B1BD12B" w14:textId="4D249C13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5" w:name="_3j2qqm3" w:colFirst="0" w:colLast="0"/>
      <w:bookmarkEnd w:id="5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S6. Differentially expressed genes in UC vs. OUD within striatal cells</w:t>
      </w:r>
    </w:p>
    <w:p w14:paraId="35343218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Outputs of two-sided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limma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-based linear regression test for differential expression across striatal cell type. The differential expression FDR was calculated using the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method to increase power by modeling power with an independent factor, average expression.  We calculated FDR within each cell type comparison (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adj.</w:t>
      </w:r>
      <w:proofErr w:type="gramStart"/>
      <w:r w:rsidRPr="006006E7">
        <w:rPr>
          <w:rFonts w:ascii="Times New Roman" w:eastAsia="Arial" w:hAnsi="Times New Roman" w:cs="Times New Roman"/>
          <w:sz w:val="22"/>
          <w:szCs w:val="22"/>
        </w:rPr>
        <w:t>P.Val.Within</w:t>
      </w:r>
      <w:proofErr w:type="spellEnd"/>
      <w:proofErr w:type="gram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) and between all cell type </w:t>
      </w:r>
      <w:r w:rsidRPr="006006E7">
        <w:rPr>
          <w:rFonts w:ascii="Times New Roman" w:eastAsia="Arial" w:hAnsi="Times New Roman" w:cs="Times New Roman"/>
          <w:sz w:val="22"/>
          <w:szCs w:val="22"/>
        </w:rPr>
        <w:lastRenderedPageBreak/>
        <w:t>comparisons (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adj.P.Val.Between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) and report the more conservative correction between cell types in the main text and figures,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adj.P.Val.Between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>.</w:t>
      </w:r>
    </w:p>
    <w:p w14:paraId="2E729A89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D9F4F1C" w14:textId="40C075DE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6" w:name="_1y810tw" w:colFirst="0" w:colLast="0"/>
      <w:bookmarkEnd w:id="6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S7. Enriched pathways in UC vs. OUD, main comparison</w:t>
      </w:r>
    </w:p>
    <w:p w14:paraId="63AAE11A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Outputs of the gene-set pathway enrichment analyses from two-sided rank-based GSEA enrichment test using the main differential expression from UC vs. OUD. We calculated FDR across all cell type comparisons using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modeling power by the number of genes in a gene set. </w:t>
      </w:r>
    </w:p>
    <w:p w14:paraId="2D8A8CEB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74CF17B" w14:textId="0D74FD34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7" w:name="_4i7ojhp" w:colFirst="0" w:colLast="0"/>
      <w:bookmarkEnd w:id="7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S8. Enriched TF-gene modules in UC vs. OUD</w:t>
      </w:r>
    </w:p>
    <w:p w14:paraId="1DD8DAEB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Outputs of differential pseudo-bulk average transcription factor-gene regulatory network activation in striatal cell types using two-sided linear regression test to control for covariates.</w:t>
      </w:r>
    </w:p>
    <w:p w14:paraId="23533E0B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4B7FE936" w14:textId="30A4BEA6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8" w:name="_2xcytpi" w:colFirst="0" w:colLast="0"/>
      <w:bookmarkEnd w:id="8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S9. Clustered neuronal pathways in UC vs. OUD, main comparison</w:t>
      </w:r>
    </w:p>
    <w:p w14:paraId="0522A5D2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Neuronal pathways from Table S7 with additional clustering to identify related, enrich pathways. The cluster number corresponds to those in Figure 2B-C. No additional statistical manipulations performed.</w:t>
      </w:r>
    </w:p>
    <w:p w14:paraId="1D401DAB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FBEDB53" w14:textId="20959012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9" w:name="_1ci93xb" w:colFirst="0" w:colLast="0"/>
      <w:bookmarkEnd w:id="9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S10. Comparison of neuronal DNA damage score by OUD diagnosis</w:t>
      </w:r>
    </w:p>
    <w:p w14:paraId="17F0CD75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Outputs of differential pseudo-bulk average DNA damage score activation in striatal neurons using two-sided linear regression test to control for covariates, 15 degrees of freedom.</w:t>
      </w:r>
    </w:p>
    <w:p w14:paraId="0C06ADDD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748BF23" w14:textId="2B53746F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0" w:name="_3whwml4" w:colFirst="0" w:colLast="0"/>
      <w:bookmarkEnd w:id="10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S11. Clustered glial pathways in UC vs. OUD, main comparison</w:t>
      </w:r>
    </w:p>
    <w:p w14:paraId="3CD9A956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>Glial pathways from Table S7 with additional clustering to identify related, enrich pathways. The cluster number corresponds to those in Figure 4B-C. No additional statistical manipulations performed.</w:t>
      </w:r>
    </w:p>
    <w:p w14:paraId="0542193E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53CF208F" w14:textId="01360A20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1" w:name="_2bn6wsx" w:colFirst="0" w:colLast="0"/>
      <w:bookmarkEnd w:id="11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S12. Differentially expressed genes in UC vs. OUD subset to female or male</w:t>
      </w:r>
    </w:p>
    <w:p w14:paraId="4C210143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Similar outputs to Table S6 from two-sided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limma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-based linear regression tests for differential expression across striatal cell type. The differential expression FDR was calculated using the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method to increase power by modeling power </w:t>
      </w:r>
      <w:r w:rsidRPr="006006E7">
        <w:rPr>
          <w:rFonts w:ascii="Times New Roman" w:eastAsia="Arial" w:hAnsi="Times New Roman" w:cs="Times New Roman"/>
          <w:sz w:val="22"/>
          <w:szCs w:val="22"/>
        </w:rPr>
        <w:lastRenderedPageBreak/>
        <w:t>with an independent factor, average expression. These differential expression tables assess UC vs. OUD in female or male individuals (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SexF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and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SexM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>, respectively).</w:t>
      </w:r>
    </w:p>
    <w:p w14:paraId="293A5616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3E054F4D" w14:textId="57C537BD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2" w:name="_qsh70q" w:colFirst="0" w:colLast="0"/>
      <w:bookmarkEnd w:id="12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S13. Enriched female-biased pathways in UC vs. OUD</w:t>
      </w:r>
    </w:p>
    <w:p w14:paraId="6CC0177C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Similar outputs to Table S7 showing gene-set pathways using two-sided rank-based GSEA enrichment tests on the differential expression from UC vs. OUD that were biased to female individuals with OUD. We calculated FDR across all cell type comparisons using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modeling power by the number of genes in a gene set.</w:t>
      </w:r>
    </w:p>
    <w:p w14:paraId="2051DA13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F27BF46" w14:textId="23C3A79E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3" w:name="_3as4poj" w:colFirst="0" w:colLast="0"/>
      <w:bookmarkEnd w:id="13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S14. Enriched male-biased pathways in UC vs. OUD</w:t>
      </w:r>
    </w:p>
    <w:p w14:paraId="32E1DF5C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Similar outputs to Table S7 showing gene-set pathway using two-sided rank-based GSEA enrichment tests on the differential expression from UC vs. OUD that were biased to male individuals with OUD. We calculated FDR across all cell type comparisons using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modeling power by the number of genes in a gene set.</w:t>
      </w:r>
    </w:p>
    <w:p w14:paraId="1E429AB9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C367DED" w14:textId="022EACC5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4" w:name="_1pxezwc" w:colFirst="0" w:colLast="0"/>
      <w:bookmarkEnd w:id="14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S15. Enriched pathways with a sex interaction in UC vs. OUD</w:t>
      </w:r>
    </w:p>
    <w:p w14:paraId="5189DB51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Similar outputs to Table S7 showing gene-set pathway using two-sided rank-based GSEA enrichment tests on the differential expression from UC vs. OUD that had a differential interaction score between DEGs in females vs. in male individuals. We calculated FDR across all cell type comparisons using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modeling power by the number of genes in a gene set.</w:t>
      </w:r>
    </w:p>
    <w:p w14:paraId="30AF93C2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5AC45171" w14:textId="3BEF8A85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5" w:name="_49x2ik5" w:colFirst="0" w:colLast="0"/>
      <w:bookmarkEnd w:id="15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S16. Enriched pathways from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Piechota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et al. 2010</w:t>
      </w:r>
    </w:p>
    <w:p w14:paraId="38753F55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Gene-set enrichment analysis using two-sided rank-based GSEA enrichment tests with gene sets from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Piechota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et al. 2010, gene pathways after drug exposure in male mouse striatum, with differentially expressed genes. We calculated FDR across all cell type comparisons using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swfdr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modeling power by the number of genes in a gene set.</w:t>
      </w:r>
    </w:p>
    <w:p w14:paraId="050B6D35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22694F1D" w14:textId="2E3F9922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6" w:name="_2p2csry" w:colFirst="0" w:colLast="0"/>
      <w:bookmarkEnd w:id="16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 xml:space="preserve">S17. Detected transcription factor (TF)-gene </w:t>
      </w:r>
      <w:proofErr w:type="gramStart"/>
      <w:r w:rsidRPr="006006E7">
        <w:rPr>
          <w:rFonts w:ascii="Times New Roman" w:eastAsia="Arial" w:hAnsi="Times New Roman" w:cs="Times New Roman"/>
          <w:sz w:val="22"/>
          <w:szCs w:val="22"/>
        </w:rPr>
        <w:t>relationships</w:t>
      </w:r>
      <w:proofErr w:type="gramEnd"/>
    </w:p>
    <w:p w14:paraId="3D0CE29A" w14:textId="77777777" w:rsidR="00570EF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t xml:space="preserve">The transcription factor-gene regulatory relationships identified using the </w:t>
      </w:r>
      <w:proofErr w:type="spellStart"/>
      <w:r w:rsidRPr="006006E7">
        <w:rPr>
          <w:rFonts w:ascii="Times New Roman" w:eastAsia="Arial" w:hAnsi="Times New Roman" w:cs="Times New Roman"/>
          <w:sz w:val="22"/>
          <w:szCs w:val="22"/>
        </w:rPr>
        <w:t>pySCENIC</w:t>
      </w:r>
      <w:proofErr w:type="spellEnd"/>
      <w:r w:rsidRPr="006006E7">
        <w:rPr>
          <w:rFonts w:ascii="Times New Roman" w:eastAsia="Arial" w:hAnsi="Times New Roman" w:cs="Times New Roman"/>
          <w:sz w:val="22"/>
          <w:szCs w:val="22"/>
        </w:rPr>
        <w:t xml:space="preserve"> protocol to build gene regulatory networks. These TF-gene relationships were identified across multiple runs and across multiple individuals with and without OUD.</w:t>
      </w:r>
    </w:p>
    <w:p w14:paraId="325E0A55" w14:textId="77777777" w:rsidR="00570EFF" w:rsidRPr="006006E7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5CBF374B" w14:textId="0186A139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</w:rPr>
      </w:pPr>
      <w:bookmarkStart w:id="17" w:name="_147n2zr" w:colFirst="0" w:colLast="0"/>
      <w:bookmarkEnd w:id="17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S18. Significantly enriched pathways from gene co-expression modules significantly correlated with OUD in medium spiny neuron subpopulations and microglia.</w:t>
      </w:r>
    </w:p>
    <w:p w14:paraId="2EB91EF9" w14:textId="77777777" w:rsidR="00570EFF" w:rsidRDefault="00570EFF" w:rsidP="00570EFF">
      <w:pPr>
        <w:rPr>
          <w:rFonts w:ascii="Times New Roman" w:hAnsi="Times New Roman" w:cs="Times New Roman"/>
          <w:sz w:val="22"/>
          <w:szCs w:val="22"/>
        </w:rPr>
      </w:pPr>
      <w:r w:rsidRPr="006006E7">
        <w:rPr>
          <w:rFonts w:ascii="Times New Roman" w:hAnsi="Times New Roman" w:cs="Times New Roman"/>
          <w:sz w:val="22"/>
          <w:szCs w:val="22"/>
        </w:rPr>
        <w:t>Pathway enrichment analysis on gene members of co-expression modules across cell types in human caudate and putamen. Pathways from co-expression modules were significantly correlated with medium spiny neurons and microglia cell types from individuals with OUD.</w:t>
      </w:r>
    </w:p>
    <w:p w14:paraId="0EE6116C" w14:textId="77777777" w:rsidR="00570EFF" w:rsidRPr="006006E7" w:rsidRDefault="00570EFF" w:rsidP="00570EFF">
      <w:pPr>
        <w:rPr>
          <w:rFonts w:ascii="Times New Roman" w:hAnsi="Times New Roman" w:cs="Times New Roman"/>
          <w:sz w:val="22"/>
          <w:szCs w:val="22"/>
        </w:rPr>
      </w:pPr>
    </w:p>
    <w:p w14:paraId="2B372358" w14:textId="5076C167" w:rsidR="00570EFF" w:rsidRPr="006006E7" w:rsidRDefault="00570EFF" w:rsidP="00570EFF">
      <w:pPr>
        <w:pStyle w:val="Heading4"/>
        <w:spacing w:before="0"/>
        <w:jc w:val="both"/>
        <w:rPr>
          <w:rFonts w:ascii="Times New Roman" w:eastAsia="Arial" w:hAnsi="Times New Roman" w:cs="Times New Roman"/>
          <w:sz w:val="22"/>
          <w:szCs w:val="22"/>
          <w:u w:val="none"/>
        </w:rPr>
      </w:pPr>
      <w:bookmarkStart w:id="18" w:name="_3o7alnk" w:colFirst="0" w:colLast="0"/>
      <w:bookmarkEnd w:id="18"/>
      <w:r>
        <w:rPr>
          <w:rFonts w:ascii="Times New Roman" w:eastAsia="Arial" w:hAnsi="Times New Roman" w:cs="Times New Roman"/>
          <w:sz w:val="22"/>
          <w:szCs w:val="22"/>
        </w:rPr>
        <w:t>File Name: Supplementary Data 1-</w:t>
      </w:r>
      <w:r w:rsidRPr="006006E7">
        <w:rPr>
          <w:rFonts w:ascii="Times New Roman" w:eastAsia="Arial" w:hAnsi="Times New Roman" w:cs="Times New Roman"/>
          <w:sz w:val="22"/>
          <w:szCs w:val="22"/>
        </w:rPr>
        <w:t>S19. Weighted gene co-expression analysis (WGCNA) across medium spiny neuron subpopulations and microglia</w:t>
      </w:r>
      <w:r w:rsidRPr="006006E7">
        <w:rPr>
          <w:rFonts w:ascii="Times New Roman" w:eastAsia="Arial" w:hAnsi="Times New Roman" w:cs="Times New Roman"/>
          <w:sz w:val="22"/>
          <w:szCs w:val="22"/>
          <w:u w:val="none"/>
        </w:rPr>
        <w:t>.</w:t>
      </w:r>
    </w:p>
    <w:p w14:paraId="7D53A8E7" w14:textId="77777777" w:rsidR="00570EFF" w:rsidRDefault="00570EFF" w:rsidP="00570EFF">
      <w:pPr>
        <w:rPr>
          <w:rFonts w:ascii="Times New Roman" w:hAnsi="Times New Roman" w:cs="Times New Roman"/>
          <w:sz w:val="22"/>
          <w:szCs w:val="22"/>
        </w:rPr>
      </w:pPr>
      <w:r w:rsidRPr="006006E7">
        <w:rPr>
          <w:rFonts w:ascii="Times New Roman" w:hAnsi="Times New Roman" w:cs="Times New Roman"/>
          <w:sz w:val="22"/>
          <w:szCs w:val="22"/>
        </w:rPr>
        <w:t>Weighted gene co-expression network analysis (WGCNA) was used to generate gene co-expression modules, with the network structure generated on each major cell type separately.</w:t>
      </w:r>
    </w:p>
    <w:p w14:paraId="7E2BE7EC" w14:textId="77777777" w:rsidR="00570EFF" w:rsidRDefault="00570EFF" w:rsidP="00570EFF">
      <w:pPr>
        <w:rPr>
          <w:rFonts w:ascii="Times New Roman" w:hAnsi="Times New Roman" w:cs="Times New Roman"/>
          <w:sz w:val="22"/>
          <w:szCs w:val="22"/>
        </w:rPr>
      </w:pPr>
    </w:p>
    <w:p w14:paraId="7BF2F82C" w14:textId="3D0B5A42" w:rsidR="00570EFF" w:rsidRPr="008B7331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</w:t>
      </w: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20</w:t>
      </w:r>
      <w:r w:rsidR="008B7331">
        <w:rPr>
          <w:rFonts w:ascii="Times New Roman" w:eastAsia="Arial" w:hAnsi="Times New Roman" w:cs="Times New Roman"/>
          <w:sz w:val="22"/>
          <w:szCs w:val="22"/>
          <w:u w:val="single"/>
        </w:rPr>
        <w:t>. Gene members of each module identified from WGCNA across medium spiny neuron subpopulations and microglia</w:t>
      </w:r>
      <w:r w:rsidR="008B7331" w:rsidRPr="008B7331">
        <w:rPr>
          <w:rFonts w:ascii="Times New Roman" w:eastAsia="Arial" w:hAnsi="Times New Roman" w:cs="Times New Roman"/>
          <w:sz w:val="22"/>
          <w:szCs w:val="22"/>
        </w:rPr>
        <w:t>.</w:t>
      </w:r>
    </w:p>
    <w:p w14:paraId="793B8982" w14:textId="77777777" w:rsidR="00570EFF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</w:p>
    <w:p w14:paraId="22F88EBF" w14:textId="3C0AA3F6" w:rsidR="00570EFF" w:rsidRPr="002A7A60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</w:t>
      </w: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21</w:t>
      </w:r>
      <w:r w:rsidR="009C02FF">
        <w:rPr>
          <w:rFonts w:ascii="Times New Roman" w:eastAsia="Arial" w:hAnsi="Times New Roman" w:cs="Times New Roman"/>
          <w:sz w:val="22"/>
          <w:szCs w:val="22"/>
          <w:u w:val="single"/>
        </w:rPr>
        <w:t>. Trait-module correlations</w:t>
      </w:r>
      <w:r w:rsidR="009C02FF" w:rsidRPr="002A7A60">
        <w:rPr>
          <w:rFonts w:ascii="Times New Roman" w:eastAsia="Arial" w:hAnsi="Times New Roman" w:cs="Times New Roman"/>
          <w:sz w:val="22"/>
          <w:szCs w:val="22"/>
        </w:rPr>
        <w:t>.</w:t>
      </w:r>
    </w:p>
    <w:p w14:paraId="45F8CC07" w14:textId="77777777" w:rsidR="00570EFF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</w:p>
    <w:p w14:paraId="5282584C" w14:textId="063D97ED" w:rsidR="00570EFF" w:rsidRPr="009D5467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</w:t>
      </w: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22</w:t>
      </w:r>
      <w:r w:rsidR="009D5467">
        <w:rPr>
          <w:rFonts w:ascii="Times New Roman" w:eastAsia="Arial" w:hAnsi="Times New Roman" w:cs="Times New Roman"/>
          <w:sz w:val="22"/>
          <w:szCs w:val="22"/>
          <w:u w:val="single"/>
        </w:rPr>
        <w:t>. Trait-module correlations FDR values</w:t>
      </w:r>
      <w:r w:rsidR="009D5467">
        <w:rPr>
          <w:rFonts w:ascii="Times New Roman" w:eastAsia="Arial" w:hAnsi="Times New Roman" w:cs="Times New Roman"/>
          <w:sz w:val="22"/>
          <w:szCs w:val="22"/>
        </w:rPr>
        <w:t>.</w:t>
      </w:r>
    </w:p>
    <w:p w14:paraId="7E22FEBC" w14:textId="77777777" w:rsidR="00570EFF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</w:p>
    <w:p w14:paraId="7546598F" w14:textId="58019117" w:rsidR="00570EFF" w:rsidRPr="00F3018E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</w:t>
      </w: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23</w:t>
      </w:r>
      <w:r w:rsidR="00F3018E">
        <w:rPr>
          <w:rFonts w:ascii="Times New Roman" w:eastAsia="Arial" w:hAnsi="Times New Roman" w:cs="Times New Roman"/>
          <w:sz w:val="22"/>
          <w:szCs w:val="22"/>
          <w:u w:val="single"/>
        </w:rPr>
        <w:t xml:space="preserve">. Gene members of modules used in GO </w:t>
      </w:r>
      <w:r w:rsidR="005C4868">
        <w:rPr>
          <w:rFonts w:ascii="Times New Roman" w:eastAsia="Arial" w:hAnsi="Times New Roman" w:cs="Times New Roman"/>
          <w:sz w:val="22"/>
          <w:szCs w:val="22"/>
          <w:u w:val="single"/>
        </w:rPr>
        <w:t xml:space="preserve">pathway </w:t>
      </w:r>
      <w:r w:rsidR="00F3018E">
        <w:rPr>
          <w:rFonts w:ascii="Times New Roman" w:eastAsia="Arial" w:hAnsi="Times New Roman" w:cs="Times New Roman"/>
          <w:sz w:val="22"/>
          <w:szCs w:val="22"/>
          <w:u w:val="single"/>
        </w:rPr>
        <w:t>analyses</w:t>
      </w:r>
      <w:r w:rsidR="00F3018E">
        <w:rPr>
          <w:rFonts w:ascii="Times New Roman" w:eastAsia="Arial" w:hAnsi="Times New Roman" w:cs="Times New Roman"/>
          <w:sz w:val="22"/>
          <w:szCs w:val="22"/>
        </w:rPr>
        <w:t>.</w:t>
      </w:r>
    </w:p>
    <w:p w14:paraId="541BE45D" w14:textId="77777777" w:rsidR="00570EFF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</w:p>
    <w:p w14:paraId="2DB2F4FC" w14:textId="456D972E" w:rsidR="00570EFF" w:rsidRPr="00761BFD" w:rsidRDefault="00570EFF" w:rsidP="00570EFF">
      <w:pPr>
        <w:rPr>
          <w:rFonts w:ascii="Times New Roman" w:eastAsia="Arial" w:hAnsi="Times New Roman" w:cs="Times New Roman"/>
          <w:sz w:val="22"/>
          <w:szCs w:val="22"/>
        </w:rPr>
      </w:pP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</w:t>
      </w: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24</w:t>
      </w:r>
      <w:r w:rsidR="00761BFD">
        <w:rPr>
          <w:rFonts w:ascii="Times New Roman" w:eastAsia="Arial" w:hAnsi="Times New Roman" w:cs="Times New Roman"/>
          <w:sz w:val="22"/>
          <w:szCs w:val="22"/>
          <w:u w:val="single"/>
        </w:rPr>
        <w:t>. GO pathway results for WGCNA modules</w:t>
      </w:r>
      <w:r w:rsidR="00761BFD">
        <w:rPr>
          <w:rFonts w:ascii="Times New Roman" w:eastAsia="Arial" w:hAnsi="Times New Roman" w:cs="Times New Roman"/>
          <w:sz w:val="22"/>
          <w:szCs w:val="22"/>
        </w:rPr>
        <w:t>.</w:t>
      </w:r>
    </w:p>
    <w:p w14:paraId="1BA18B3A" w14:textId="77777777" w:rsidR="00761BFD" w:rsidRDefault="00761BFD" w:rsidP="00570EFF">
      <w:pPr>
        <w:rPr>
          <w:rFonts w:ascii="Times New Roman" w:eastAsia="Arial" w:hAnsi="Times New Roman" w:cs="Times New Roman"/>
          <w:sz w:val="22"/>
          <w:szCs w:val="22"/>
          <w:u w:val="single"/>
        </w:rPr>
      </w:pPr>
    </w:p>
    <w:p w14:paraId="0D83A021" w14:textId="16F3DFF3" w:rsidR="00570EFF" w:rsidRDefault="00761BFD" w:rsidP="00570EFF">
      <w:pPr>
        <w:rPr>
          <w:rFonts w:ascii="Times New Roman" w:hAnsi="Times New Roman" w:cs="Times New Roman"/>
          <w:sz w:val="22"/>
          <w:szCs w:val="22"/>
        </w:rPr>
      </w:pPr>
      <w:r w:rsidRPr="00EF07BC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1-2</w:t>
      </w:r>
      <w:r>
        <w:rPr>
          <w:rFonts w:ascii="Times New Roman" w:eastAsia="Arial" w:hAnsi="Times New Roman" w:cs="Times New Roman"/>
          <w:sz w:val="22"/>
          <w:szCs w:val="22"/>
          <w:u w:val="single"/>
        </w:rPr>
        <w:t>5</w:t>
      </w:r>
      <w:r w:rsidR="00B81CB6">
        <w:rPr>
          <w:rFonts w:ascii="Times New Roman" w:eastAsia="Arial" w:hAnsi="Times New Roman" w:cs="Times New Roman"/>
          <w:sz w:val="22"/>
          <w:szCs w:val="22"/>
          <w:u w:val="single"/>
        </w:rPr>
        <w:t>. Gene members in top 3 GO pathways</w:t>
      </w:r>
      <w:r w:rsidR="00B81CB6">
        <w:rPr>
          <w:rFonts w:ascii="Times New Roman" w:eastAsia="Arial" w:hAnsi="Times New Roman" w:cs="Times New Roman"/>
          <w:sz w:val="22"/>
          <w:szCs w:val="22"/>
        </w:rPr>
        <w:t>.</w:t>
      </w:r>
    </w:p>
    <w:p w14:paraId="3A2709DF" w14:textId="77777777" w:rsidR="0060432F" w:rsidRPr="006006E7" w:rsidRDefault="0060432F" w:rsidP="00570EFF">
      <w:pPr>
        <w:rPr>
          <w:rFonts w:ascii="Times New Roman" w:hAnsi="Times New Roman" w:cs="Times New Roman"/>
          <w:sz w:val="22"/>
          <w:szCs w:val="22"/>
        </w:rPr>
      </w:pPr>
    </w:p>
    <w:p w14:paraId="0DA2CF5C" w14:textId="7C3F9808" w:rsidR="00570EFF" w:rsidRPr="006006E7" w:rsidRDefault="00570EFF" w:rsidP="00570EFF">
      <w:pPr>
        <w:rPr>
          <w:rFonts w:ascii="Times New Roman" w:hAnsi="Times New Roman" w:cs="Times New Roman"/>
          <w:sz w:val="22"/>
          <w:szCs w:val="22"/>
          <w:u w:val="single"/>
        </w:rPr>
      </w:pPr>
      <w:r w:rsidRPr="00570EFF">
        <w:rPr>
          <w:rFonts w:ascii="Times New Roman" w:eastAsia="Arial" w:hAnsi="Times New Roman" w:cs="Times New Roman"/>
          <w:sz w:val="22"/>
          <w:szCs w:val="22"/>
          <w:u w:val="single"/>
        </w:rPr>
        <w:t>File Name: Supplementary Data 1-S2</w:t>
      </w:r>
      <w:r w:rsidR="00761BFD">
        <w:rPr>
          <w:rFonts w:ascii="Times New Roman" w:eastAsia="Arial" w:hAnsi="Times New Roman" w:cs="Times New Roman"/>
          <w:sz w:val="22"/>
          <w:szCs w:val="22"/>
          <w:u w:val="single"/>
        </w:rPr>
        <w:t>6</w:t>
      </w:r>
      <w:r w:rsidRPr="00570EFF">
        <w:rPr>
          <w:rFonts w:ascii="Times New Roman" w:eastAsia="Arial" w:hAnsi="Times New Roman" w:cs="Times New Roman"/>
          <w:sz w:val="22"/>
          <w:szCs w:val="22"/>
          <w:u w:val="single"/>
        </w:rPr>
        <w:t>. Postmortem</w:t>
      </w:r>
      <w:r w:rsidRPr="006006E7">
        <w:rPr>
          <w:rFonts w:ascii="Times New Roman" w:eastAsia="Arial" w:hAnsi="Times New Roman" w:cs="Times New Roman"/>
          <w:sz w:val="22"/>
          <w:szCs w:val="22"/>
          <w:u w:val="single"/>
        </w:rPr>
        <w:t xml:space="preserve"> rhesus macaque individual-level and tissue-level metadata</w:t>
      </w:r>
    </w:p>
    <w:p w14:paraId="39F9A6D5" w14:textId="77777777" w:rsidR="00570EFF" w:rsidRPr="005B6B6F" w:rsidRDefault="00570EFF" w:rsidP="00570EFF">
      <w:pPr>
        <w:spacing w:after="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6006E7">
        <w:rPr>
          <w:rFonts w:ascii="Times New Roman" w:eastAsia="Arial" w:hAnsi="Times New Roman" w:cs="Times New Roman"/>
          <w:sz w:val="22"/>
          <w:szCs w:val="22"/>
        </w:rPr>
        <w:lastRenderedPageBreak/>
        <w:t>Description of the individual-level metadata describing relevant covariates and chronic morphine dosing schedules and prior drug exposure</w:t>
      </w:r>
      <w:r>
        <w:rPr>
          <w:rFonts w:ascii="Times New Roman" w:eastAsia="Arial" w:hAnsi="Times New Roman" w:cs="Times New Roman"/>
          <w:sz w:val="22"/>
          <w:szCs w:val="22"/>
        </w:rPr>
        <w:t>.</w:t>
      </w:r>
      <w:r w:rsidRPr="005B6B6F">
        <w:rPr>
          <w:rFonts w:ascii="Times New Roman" w:hAnsi="Times New Roman" w:cs="Times New Roman"/>
          <w:sz w:val="22"/>
          <w:szCs w:val="22"/>
        </w:rPr>
        <w:br w:type="page"/>
      </w:r>
    </w:p>
    <w:p w14:paraId="50038526" w14:textId="77777777" w:rsidR="009A74AC" w:rsidRDefault="009A74AC"/>
    <w:sectPr w:rsidR="009A74AC" w:rsidSect="00612B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EFF"/>
    <w:rsid w:val="000020E4"/>
    <w:rsid w:val="00006356"/>
    <w:rsid w:val="00007E13"/>
    <w:rsid w:val="00021FA9"/>
    <w:rsid w:val="00024283"/>
    <w:rsid w:val="00042837"/>
    <w:rsid w:val="00075544"/>
    <w:rsid w:val="000B0BFF"/>
    <w:rsid w:val="00117E1C"/>
    <w:rsid w:val="001518D2"/>
    <w:rsid w:val="001B71BD"/>
    <w:rsid w:val="001C70C4"/>
    <w:rsid w:val="001C70E8"/>
    <w:rsid w:val="001F4DD8"/>
    <w:rsid w:val="0020623A"/>
    <w:rsid w:val="00285917"/>
    <w:rsid w:val="00290F7E"/>
    <w:rsid w:val="002A7A60"/>
    <w:rsid w:val="002B4201"/>
    <w:rsid w:val="002C648A"/>
    <w:rsid w:val="002E7BA9"/>
    <w:rsid w:val="002F3A7A"/>
    <w:rsid w:val="0031026D"/>
    <w:rsid w:val="0032077D"/>
    <w:rsid w:val="003564F0"/>
    <w:rsid w:val="00372B50"/>
    <w:rsid w:val="00377920"/>
    <w:rsid w:val="003B34F7"/>
    <w:rsid w:val="003C457D"/>
    <w:rsid w:val="003F44A7"/>
    <w:rsid w:val="00417D18"/>
    <w:rsid w:val="00420941"/>
    <w:rsid w:val="00420E5F"/>
    <w:rsid w:val="0043209E"/>
    <w:rsid w:val="00432F1D"/>
    <w:rsid w:val="00443C2D"/>
    <w:rsid w:val="00476F1D"/>
    <w:rsid w:val="00477959"/>
    <w:rsid w:val="00495DDE"/>
    <w:rsid w:val="004979BD"/>
    <w:rsid w:val="004A71EA"/>
    <w:rsid w:val="004C560A"/>
    <w:rsid w:val="004F7737"/>
    <w:rsid w:val="00504D59"/>
    <w:rsid w:val="00506112"/>
    <w:rsid w:val="00544445"/>
    <w:rsid w:val="00570EFF"/>
    <w:rsid w:val="0057268C"/>
    <w:rsid w:val="00594FF0"/>
    <w:rsid w:val="005A00D8"/>
    <w:rsid w:val="005A5816"/>
    <w:rsid w:val="005A6FA7"/>
    <w:rsid w:val="005C4868"/>
    <w:rsid w:val="005D37C8"/>
    <w:rsid w:val="0060432F"/>
    <w:rsid w:val="00612B5E"/>
    <w:rsid w:val="0062776A"/>
    <w:rsid w:val="006B14B3"/>
    <w:rsid w:val="006E5A7A"/>
    <w:rsid w:val="006F3337"/>
    <w:rsid w:val="00724148"/>
    <w:rsid w:val="00734927"/>
    <w:rsid w:val="00735416"/>
    <w:rsid w:val="00736C53"/>
    <w:rsid w:val="00750DFA"/>
    <w:rsid w:val="0076033E"/>
    <w:rsid w:val="00761BFD"/>
    <w:rsid w:val="00775C24"/>
    <w:rsid w:val="007E4C92"/>
    <w:rsid w:val="00810799"/>
    <w:rsid w:val="008532BD"/>
    <w:rsid w:val="00865931"/>
    <w:rsid w:val="00870D12"/>
    <w:rsid w:val="0087727F"/>
    <w:rsid w:val="008A5F0D"/>
    <w:rsid w:val="008A7C71"/>
    <w:rsid w:val="008B5006"/>
    <w:rsid w:val="008B61FD"/>
    <w:rsid w:val="008B7331"/>
    <w:rsid w:val="008D138A"/>
    <w:rsid w:val="008F789F"/>
    <w:rsid w:val="0090239E"/>
    <w:rsid w:val="00902928"/>
    <w:rsid w:val="009042A2"/>
    <w:rsid w:val="00915B65"/>
    <w:rsid w:val="00924FE2"/>
    <w:rsid w:val="0093695C"/>
    <w:rsid w:val="009A0BF4"/>
    <w:rsid w:val="009A74AC"/>
    <w:rsid w:val="009B00DC"/>
    <w:rsid w:val="009B082D"/>
    <w:rsid w:val="009C02FF"/>
    <w:rsid w:val="009C7F2A"/>
    <w:rsid w:val="009D4F47"/>
    <w:rsid w:val="009D5467"/>
    <w:rsid w:val="00A24688"/>
    <w:rsid w:val="00A246DF"/>
    <w:rsid w:val="00A24AFD"/>
    <w:rsid w:val="00AB44B0"/>
    <w:rsid w:val="00AE7E1E"/>
    <w:rsid w:val="00B070FB"/>
    <w:rsid w:val="00B214BA"/>
    <w:rsid w:val="00B30166"/>
    <w:rsid w:val="00B35DEE"/>
    <w:rsid w:val="00B700FA"/>
    <w:rsid w:val="00B81CB6"/>
    <w:rsid w:val="00B9707C"/>
    <w:rsid w:val="00BB3B55"/>
    <w:rsid w:val="00BD2A8B"/>
    <w:rsid w:val="00C8226B"/>
    <w:rsid w:val="00CC2286"/>
    <w:rsid w:val="00CD1C1A"/>
    <w:rsid w:val="00CD4BE4"/>
    <w:rsid w:val="00CE1EFE"/>
    <w:rsid w:val="00CE37DD"/>
    <w:rsid w:val="00CF7ABA"/>
    <w:rsid w:val="00D236B4"/>
    <w:rsid w:val="00D30E07"/>
    <w:rsid w:val="00D567B0"/>
    <w:rsid w:val="00D74F5E"/>
    <w:rsid w:val="00D84010"/>
    <w:rsid w:val="00D906B4"/>
    <w:rsid w:val="00D91B67"/>
    <w:rsid w:val="00DB2F3F"/>
    <w:rsid w:val="00DB461F"/>
    <w:rsid w:val="00DC2207"/>
    <w:rsid w:val="00DC4096"/>
    <w:rsid w:val="00DC72CD"/>
    <w:rsid w:val="00DE03E5"/>
    <w:rsid w:val="00DE1D2A"/>
    <w:rsid w:val="00DE6295"/>
    <w:rsid w:val="00DF517B"/>
    <w:rsid w:val="00E21E98"/>
    <w:rsid w:val="00E24E89"/>
    <w:rsid w:val="00E27B89"/>
    <w:rsid w:val="00E40727"/>
    <w:rsid w:val="00E42B6C"/>
    <w:rsid w:val="00E502C3"/>
    <w:rsid w:val="00E92B09"/>
    <w:rsid w:val="00EA683F"/>
    <w:rsid w:val="00ED4BAF"/>
    <w:rsid w:val="00EF07BC"/>
    <w:rsid w:val="00F06EE8"/>
    <w:rsid w:val="00F3018E"/>
    <w:rsid w:val="00F31501"/>
    <w:rsid w:val="00F32FA1"/>
    <w:rsid w:val="00F33C44"/>
    <w:rsid w:val="00F74C34"/>
    <w:rsid w:val="00FA5375"/>
    <w:rsid w:val="00FB37C0"/>
    <w:rsid w:val="00FD7545"/>
    <w:rsid w:val="00FE13FF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CAEBB9"/>
  <w15:chartTrackingRefBased/>
  <w15:docId w15:val="{5042681C-8666-2F48-9B88-F0BF61FA6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EFF"/>
    <w:pPr>
      <w:spacing w:after="60" w:line="480" w:lineRule="auto"/>
    </w:pPr>
    <w:rPr>
      <w:rFonts w:ascii="Times" w:eastAsia="Times" w:hAnsi="Times" w:cs="Times"/>
      <w:kern w:val="0"/>
      <w:lang w:val="e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0EFF"/>
    <w:pPr>
      <w:keepNext/>
      <w:keepLines/>
      <w:spacing w:before="280" w:after="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70EFF"/>
    <w:pPr>
      <w:keepNext/>
      <w:keepLines/>
      <w:spacing w:before="240" w:after="0"/>
      <w:outlineLvl w:val="3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70EFF"/>
    <w:rPr>
      <w:rFonts w:ascii="Times" w:eastAsia="Times" w:hAnsi="Times" w:cs="Times"/>
      <w:b/>
      <w:kern w:val="0"/>
      <w:lang w:val="e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70EFF"/>
    <w:rPr>
      <w:rFonts w:ascii="Times" w:eastAsia="Times" w:hAnsi="Times" w:cs="Times"/>
      <w:kern w:val="0"/>
      <w:u w:val="single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1159</Words>
  <Characters>6610</Characters>
  <Application>Microsoft Office Word</Application>
  <DocSecurity>0</DocSecurity>
  <Lines>55</Lines>
  <Paragraphs>15</Paragraphs>
  <ScaleCrop>false</ScaleCrop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Logan, Ryan W</dc:creator>
  <cp:keywords/>
  <dc:description/>
  <cp:lastModifiedBy>Logan, Ryan W</cp:lastModifiedBy>
  <cp:revision>11</cp:revision>
  <dcterms:created xsi:type="dcterms:W3CDTF">2024-01-10T22:24:00Z</dcterms:created>
  <dcterms:modified xsi:type="dcterms:W3CDTF">2024-01-10T22:33:00Z</dcterms:modified>
</cp:coreProperties>
</file>